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786" w:rsidRPr="00A277E8" w:rsidRDefault="00DA5786" w:rsidP="00DA5786">
      <w:pPr>
        <w:spacing w:after="240"/>
        <w:jc w:val="center"/>
        <w:rPr>
          <w:rFonts w:asciiTheme="minorHAnsi" w:hAnsiTheme="minorHAnsi" w:cstheme="minorHAnsi"/>
          <w:b/>
          <w:bCs/>
          <w:sz w:val="23"/>
          <w:szCs w:val="23"/>
        </w:rPr>
      </w:pPr>
      <w:bookmarkStart w:id="0" w:name="_GoBack"/>
      <w:bookmarkEnd w:id="0"/>
      <w:r w:rsidRPr="00A277E8">
        <w:rPr>
          <w:rFonts w:asciiTheme="minorHAnsi" w:hAnsiTheme="minorHAnsi" w:cstheme="minorHAnsi"/>
          <w:b/>
          <w:bCs/>
          <w:sz w:val="23"/>
          <w:szCs w:val="23"/>
        </w:rPr>
        <w:t>MISD Medication Guidelines</w:t>
      </w:r>
    </w:p>
    <w:p w:rsidR="00DA5786" w:rsidRPr="00A277E8" w:rsidRDefault="00DA5786" w:rsidP="00DA5786">
      <w:pPr>
        <w:pStyle w:val="BodyText"/>
        <w:spacing w:after="120"/>
        <w:jc w:val="both"/>
        <w:rPr>
          <w:rFonts w:asciiTheme="minorHAnsi" w:hAnsiTheme="minorHAnsi" w:cstheme="minorHAnsi"/>
          <w:sz w:val="23"/>
          <w:szCs w:val="23"/>
          <w:lang w:val="en"/>
        </w:rPr>
      </w:pPr>
      <w:r w:rsidRPr="00A277E8">
        <w:rPr>
          <w:rFonts w:asciiTheme="minorHAnsi" w:hAnsiTheme="minorHAnsi" w:cstheme="minorHAnsi"/>
          <w:sz w:val="23"/>
          <w:szCs w:val="23"/>
          <w:lang w:val="en"/>
        </w:rPr>
        <w:t xml:space="preserve">Medication should be administered at home whenever possible.  However, medication may be administered during school hours noting the following guidelines:  </w:t>
      </w:r>
    </w:p>
    <w:p w:rsidR="00DA5786" w:rsidRPr="00A277E8" w:rsidRDefault="00DA5786" w:rsidP="00DA5786">
      <w:pPr>
        <w:widowControl w:val="0"/>
        <w:numPr>
          <w:ilvl w:val="0"/>
          <w:numId w:val="1"/>
        </w:numPr>
        <w:jc w:val="both"/>
        <w:rPr>
          <w:rFonts w:asciiTheme="minorHAnsi" w:hAnsiTheme="minorHAnsi" w:cstheme="minorHAnsi"/>
          <w:sz w:val="23"/>
          <w:szCs w:val="23"/>
          <w:lang w:val="en"/>
        </w:rPr>
      </w:pPr>
      <w:r w:rsidRPr="00A277E8">
        <w:rPr>
          <w:rFonts w:asciiTheme="minorHAnsi" w:hAnsiTheme="minorHAnsi" w:cstheme="minorHAnsi"/>
          <w:sz w:val="23"/>
          <w:szCs w:val="23"/>
          <w:lang w:val="en"/>
        </w:rPr>
        <w:t xml:space="preserve">Mesquite ISD recognizes medication orders provided by health-care professionals (MD, DO, DDS, APN, PA, etc.) that are licensed by the State of Texas and have authority to write prescriptions.  </w:t>
      </w:r>
    </w:p>
    <w:p w:rsidR="00DA5786" w:rsidRPr="00A277E8" w:rsidRDefault="00DA5786" w:rsidP="00DA5786">
      <w:pPr>
        <w:widowControl w:val="0"/>
        <w:numPr>
          <w:ilvl w:val="0"/>
          <w:numId w:val="1"/>
        </w:numPr>
        <w:jc w:val="both"/>
        <w:rPr>
          <w:rFonts w:asciiTheme="minorHAnsi" w:hAnsiTheme="minorHAnsi" w:cstheme="minorHAnsi"/>
          <w:sz w:val="23"/>
          <w:szCs w:val="23"/>
          <w:lang w:val="en"/>
        </w:rPr>
      </w:pPr>
      <w:r w:rsidRPr="00A277E8">
        <w:rPr>
          <w:rFonts w:asciiTheme="minorHAnsi" w:hAnsiTheme="minorHAnsi" w:cstheme="minorHAnsi"/>
          <w:sz w:val="23"/>
          <w:szCs w:val="23"/>
          <w:lang w:val="en"/>
        </w:rPr>
        <w:t xml:space="preserve">Medication must be filled by a pharmacist licensed by the State of Texas.  </w:t>
      </w:r>
    </w:p>
    <w:p w:rsidR="00DA5786" w:rsidRPr="00A277E8" w:rsidRDefault="00DA5786" w:rsidP="00DA5786">
      <w:pPr>
        <w:widowControl w:val="0"/>
        <w:numPr>
          <w:ilvl w:val="0"/>
          <w:numId w:val="1"/>
        </w:numPr>
        <w:jc w:val="both"/>
        <w:rPr>
          <w:rFonts w:asciiTheme="minorHAnsi" w:hAnsiTheme="minorHAnsi" w:cstheme="minorHAnsi"/>
          <w:sz w:val="23"/>
          <w:szCs w:val="23"/>
          <w:lang w:val="en"/>
        </w:rPr>
      </w:pPr>
      <w:r w:rsidRPr="00A277E8">
        <w:rPr>
          <w:rFonts w:asciiTheme="minorHAnsi" w:hAnsiTheme="minorHAnsi" w:cstheme="minorHAnsi"/>
          <w:sz w:val="23"/>
          <w:szCs w:val="23"/>
          <w:lang w:val="en"/>
        </w:rPr>
        <w:t xml:space="preserve">A prescription label will suffice as an order providing it is intact and legible, includes the student’s name, the name of the medication, the dosage to be taken, how the medication is administered, and the time and/or frequency to give the medication.  </w:t>
      </w:r>
    </w:p>
    <w:p w:rsidR="00DA5786" w:rsidRPr="00A277E8" w:rsidRDefault="00DA5786" w:rsidP="00DA5786">
      <w:pPr>
        <w:widowControl w:val="0"/>
        <w:numPr>
          <w:ilvl w:val="0"/>
          <w:numId w:val="1"/>
        </w:numPr>
        <w:jc w:val="both"/>
        <w:rPr>
          <w:rFonts w:asciiTheme="minorHAnsi" w:hAnsiTheme="minorHAnsi" w:cstheme="minorHAnsi"/>
          <w:sz w:val="23"/>
          <w:szCs w:val="23"/>
          <w:lang w:val="en"/>
        </w:rPr>
      </w:pPr>
      <w:r w:rsidRPr="00A277E8">
        <w:rPr>
          <w:rFonts w:asciiTheme="minorHAnsi" w:hAnsiTheme="minorHAnsi" w:cstheme="minorHAnsi"/>
          <w:sz w:val="23"/>
          <w:szCs w:val="23"/>
          <w:lang w:val="en"/>
        </w:rPr>
        <w:t>Certain health conditions involve completion of an Emergency Action Plan by the health-care provider and parent/guardian.</w:t>
      </w:r>
    </w:p>
    <w:p w:rsidR="00DA5786" w:rsidRPr="00A277E8" w:rsidRDefault="00DA5786" w:rsidP="00DA5786">
      <w:pPr>
        <w:widowControl w:val="0"/>
        <w:numPr>
          <w:ilvl w:val="0"/>
          <w:numId w:val="1"/>
        </w:numPr>
        <w:jc w:val="both"/>
        <w:rPr>
          <w:rFonts w:asciiTheme="minorHAnsi" w:hAnsiTheme="minorHAnsi" w:cstheme="minorHAnsi"/>
          <w:sz w:val="23"/>
          <w:szCs w:val="23"/>
          <w:lang w:val="en"/>
        </w:rPr>
      </w:pPr>
      <w:r w:rsidRPr="00A277E8">
        <w:rPr>
          <w:rFonts w:asciiTheme="minorHAnsi" w:hAnsiTheme="minorHAnsi" w:cstheme="minorHAnsi"/>
          <w:sz w:val="23"/>
          <w:szCs w:val="23"/>
          <w:lang w:val="en"/>
        </w:rPr>
        <w:t>The Nurse Practice Act of Texas requires the professional registered nurse to clarify any order that the nurse has reason to believe is inaccurate, non-efficacious, or contraindicated by consulting the appropriate licensed practitioner.</w:t>
      </w:r>
    </w:p>
    <w:p w:rsidR="00DA5786" w:rsidRPr="00A277E8" w:rsidRDefault="00DA5786" w:rsidP="00DA5786">
      <w:pPr>
        <w:widowControl w:val="0"/>
        <w:numPr>
          <w:ilvl w:val="0"/>
          <w:numId w:val="1"/>
        </w:numPr>
        <w:jc w:val="both"/>
        <w:rPr>
          <w:rFonts w:asciiTheme="minorHAnsi" w:hAnsiTheme="minorHAnsi" w:cstheme="minorHAnsi"/>
          <w:sz w:val="23"/>
          <w:szCs w:val="23"/>
          <w:lang w:val="en"/>
        </w:rPr>
      </w:pPr>
      <w:r w:rsidRPr="00257A4E">
        <w:rPr>
          <w:rFonts w:asciiTheme="minorHAnsi" w:hAnsiTheme="minorHAnsi" w:cstheme="minorHAnsi"/>
          <w:sz w:val="23"/>
          <w:szCs w:val="23"/>
          <w:lang w:val="en"/>
        </w:rPr>
        <w:t xml:space="preserve">Administration of </w:t>
      </w:r>
      <w:r w:rsidRPr="00257A4E">
        <w:rPr>
          <w:rFonts w:asciiTheme="minorHAnsi" w:hAnsiTheme="minorHAnsi" w:cstheme="minorHAnsi"/>
          <w:b/>
          <w:sz w:val="23"/>
          <w:szCs w:val="23"/>
          <w:lang w:val="en"/>
        </w:rPr>
        <w:t>over-the-counter and physician sample</w:t>
      </w:r>
      <w:r w:rsidRPr="00257A4E">
        <w:rPr>
          <w:rFonts w:asciiTheme="minorHAnsi" w:hAnsiTheme="minorHAnsi" w:cstheme="minorHAnsi"/>
          <w:sz w:val="23"/>
          <w:szCs w:val="23"/>
          <w:lang w:val="en"/>
        </w:rPr>
        <w:t xml:space="preserve"> medication requires written orders and instructions from health-care professionals (MD, DO, DDS, APN, PA, etc.) licensed by the State of Texas that have authority to write prescriptions.   Over-the-counter medication includes </w:t>
      </w:r>
      <w:r w:rsidRPr="00257A4E">
        <w:rPr>
          <w:rFonts w:asciiTheme="minorHAnsi" w:hAnsiTheme="minorHAnsi" w:cstheme="minorHAnsi"/>
          <w:b/>
          <w:sz w:val="23"/>
          <w:szCs w:val="23"/>
          <w:lang w:val="en"/>
        </w:rPr>
        <w:t>cough drops, coughs medicine, antihistamines, pain relievers, medicated lotions and sprays, and medicated lip balm</w:t>
      </w:r>
      <w:r w:rsidRPr="00257A4E">
        <w:rPr>
          <w:rFonts w:asciiTheme="minorHAnsi" w:hAnsiTheme="minorHAnsi" w:cstheme="minorHAnsi"/>
          <w:sz w:val="23"/>
          <w:szCs w:val="23"/>
          <w:lang w:val="en"/>
        </w:rPr>
        <w:t>.</w:t>
      </w:r>
      <w:r w:rsidRPr="00A277E8">
        <w:rPr>
          <w:rFonts w:asciiTheme="minorHAnsi" w:hAnsiTheme="minorHAnsi" w:cstheme="minorHAnsi"/>
          <w:sz w:val="23"/>
          <w:szCs w:val="23"/>
          <w:lang w:val="en"/>
        </w:rPr>
        <w:t xml:space="preserve">  Instructions for these types of medication must include the following information:                              </w:t>
      </w:r>
    </w:p>
    <w:p w:rsidR="00DA5786" w:rsidRPr="00A277E8" w:rsidRDefault="00DA5786" w:rsidP="00DA5786">
      <w:pPr>
        <w:widowControl w:val="0"/>
        <w:numPr>
          <w:ilvl w:val="1"/>
          <w:numId w:val="1"/>
        </w:numPr>
        <w:jc w:val="both"/>
        <w:rPr>
          <w:rFonts w:asciiTheme="minorHAnsi" w:hAnsiTheme="minorHAnsi" w:cstheme="minorHAnsi"/>
          <w:sz w:val="23"/>
          <w:szCs w:val="23"/>
          <w:lang w:val="en"/>
        </w:rPr>
      </w:pPr>
      <w:r w:rsidRPr="00A277E8">
        <w:rPr>
          <w:rFonts w:asciiTheme="minorHAnsi" w:hAnsiTheme="minorHAnsi" w:cstheme="minorHAnsi"/>
          <w:sz w:val="23"/>
          <w:szCs w:val="23"/>
          <w:lang w:val="en"/>
        </w:rPr>
        <w:t xml:space="preserve">The student’s name; </w:t>
      </w:r>
    </w:p>
    <w:p w:rsidR="00DA5786" w:rsidRPr="00A277E8" w:rsidRDefault="00DA5786" w:rsidP="00DA5786">
      <w:pPr>
        <w:widowControl w:val="0"/>
        <w:numPr>
          <w:ilvl w:val="1"/>
          <w:numId w:val="1"/>
        </w:numPr>
        <w:jc w:val="both"/>
        <w:rPr>
          <w:rFonts w:asciiTheme="minorHAnsi" w:hAnsiTheme="minorHAnsi" w:cstheme="minorHAnsi"/>
          <w:sz w:val="23"/>
          <w:szCs w:val="23"/>
          <w:lang w:val="en"/>
        </w:rPr>
      </w:pPr>
      <w:r w:rsidRPr="00A277E8">
        <w:rPr>
          <w:rFonts w:asciiTheme="minorHAnsi" w:hAnsiTheme="minorHAnsi" w:cstheme="minorHAnsi"/>
          <w:sz w:val="23"/>
          <w:szCs w:val="23"/>
          <w:lang w:val="en"/>
        </w:rPr>
        <w:t>The name of the medication</w:t>
      </w:r>
    </w:p>
    <w:p w:rsidR="00DA5786" w:rsidRPr="00A277E8" w:rsidRDefault="00DA5786" w:rsidP="00DA5786">
      <w:pPr>
        <w:widowControl w:val="0"/>
        <w:numPr>
          <w:ilvl w:val="1"/>
          <w:numId w:val="1"/>
        </w:numPr>
        <w:jc w:val="both"/>
        <w:rPr>
          <w:rFonts w:asciiTheme="minorHAnsi" w:hAnsiTheme="minorHAnsi" w:cstheme="minorHAnsi"/>
          <w:sz w:val="23"/>
          <w:szCs w:val="23"/>
          <w:lang w:val="en"/>
        </w:rPr>
      </w:pPr>
      <w:r w:rsidRPr="00A277E8">
        <w:rPr>
          <w:rFonts w:asciiTheme="minorHAnsi" w:hAnsiTheme="minorHAnsi" w:cstheme="minorHAnsi"/>
          <w:sz w:val="23"/>
          <w:szCs w:val="23"/>
          <w:lang w:val="en"/>
        </w:rPr>
        <w:t>The specific purpose for administration;</w:t>
      </w:r>
    </w:p>
    <w:p w:rsidR="00DA5786" w:rsidRPr="00A277E8" w:rsidRDefault="00DA5786" w:rsidP="00DA5786">
      <w:pPr>
        <w:widowControl w:val="0"/>
        <w:numPr>
          <w:ilvl w:val="1"/>
          <w:numId w:val="1"/>
        </w:numPr>
        <w:jc w:val="both"/>
        <w:rPr>
          <w:rFonts w:asciiTheme="minorHAnsi" w:hAnsiTheme="minorHAnsi" w:cstheme="minorHAnsi"/>
          <w:sz w:val="23"/>
          <w:szCs w:val="23"/>
          <w:lang w:val="en"/>
        </w:rPr>
      </w:pPr>
      <w:r w:rsidRPr="00A277E8">
        <w:rPr>
          <w:rFonts w:asciiTheme="minorHAnsi" w:hAnsiTheme="minorHAnsi" w:cstheme="minorHAnsi"/>
          <w:sz w:val="23"/>
          <w:szCs w:val="23"/>
          <w:lang w:val="en"/>
        </w:rPr>
        <w:t xml:space="preserve">The specified dose; </w:t>
      </w:r>
    </w:p>
    <w:p w:rsidR="00DA5786" w:rsidRPr="00A277E8" w:rsidRDefault="00DA5786" w:rsidP="00DA5786">
      <w:pPr>
        <w:widowControl w:val="0"/>
        <w:numPr>
          <w:ilvl w:val="1"/>
          <w:numId w:val="1"/>
        </w:numPr>
        <w:jc w:val="both"/>
        <w:rPr>
          <w:rFonts w:asciiTheme="minorHAnsi" w:hAnsiTheme="minorHAnsi" w:cstheme="minorHAnsi"/>
          <w:sz w:val="23"/>
          <w:szCs w:val="23"/>
          <w:lang w:val="en"/>
        </w:rPr>
      </w:pPr>
      <w:r w:rsidRPr="00A277E8">
        <w:rPr>
          <w:rFonts w:asciiTheme="minorHAnsi" w:hAnsiTheme="minorHAnsi" w:cstheme="minorHAnsi"/>
          <w:sz w:val="23"/>
          <w:szCs w:val="23"/>
          <w:lang w:val="en"/>
        </w:rPr>
        <w:t>The route used to administer the medication; and,</w:t>
      </w:r>
    </w:p>
    <w:p w:rsidR="00DA5786" w:rsidRPr="00A277E8" w:rsidRDefault="00DA5786" w:rsidP="00DA5786">
      <w:pPr>
        <w:widowControl w:val="0"/>
        <w:numPr>
          <w:ilvl w:val="1"/>
          <w:numId w:val="1"/>
        </w:numPr>
        <w:jc w:val="both"/>
        <w:rPr>
          <w:rFonts w:asciiTheme="minorHAnsi" w:hAnsiTheme="minorHAnsi" w:cstheme="minorHAnsi"/>
          <w:sz w:val="23"/>
          <w:szCs w:val="23"/>
          <w:lang w:val="en"/>
        </w:rPr>
      </w:pPr>
      <w:r w:rsidRPr="00A277E8">
        <w:rPr>
          <w:rFonts w:asciiTheme="minorHAnsi" w:hAnsiTheme="minorHAnsi" w:cstheme="minorHAnsi"/>
          <w:sz w:val="23"/>
          <w:szCs w:val="23"/>
          <w:lang w:val="en"/>
        </w:rPr>
        <w:t>The specified frequency or time the medication is to be administered.  Notations such as “</w:t>
      </w:r>
      <w:r w:rsidRPr="00A277E8">
        <w:rPr>
          <w:rFonts w:asciiTheme="minorHAnsi" w:hAnsiTheme="minorHAnsi" w:cstheme="minorHAnsi"/>
          <w:i/>
          <w:sz w:val="23"/>
          <w:szCs w:val="23"/>
          <w:lang w:val="en"/>
        </w:rPr>
        <w:t>as directed</w:t>
      </w:r>
      <w:r w:rsidRPr="00A277E8">
        <w:rPr>
          <w:rFonts w:asciiTheme="minorHAnsi" w:hAnsiTheme="minorHAnsi" w:cstheme="minorHAnsi"/>
          <w:sz w:val="23"/>
          <w:szCs w:val="23"/>
          <w:lang w:val="en"/>
        </w:rPr>
        <w:t>”, “</w:t>
      </w:r>
      <w:r w:rsidRPr="00A277E8">
        <w:rPr>
          <w:rFonts w:asciiTheme="minorHAnsi" w:hAnsiTheme="minorHAnsi" w:cstheme="minorHAnsi"/>
          <w:i/>
          <w:sz w:val="23"/>
          <w:szCs w:val="23"/>
          <w:lang w:val="en"/>
        </w:rPr>
        <w:t>as needed</w:t>
      </w:r>
      <w:r w:rsidRPr="00A277E8">
        <w:rPr>
          <w:rFonts w:asciiTheme="minorHAnsi" w:hAnsiTheme="minorHAnsi" w:cstheme="minorHAnsi"/>
          <w:sz w:val="23"/>
          <w:szCs w:val="23"/>
          <w:lang w:val="en"/>
        </w:rPr>
        <w:t>” without descriptive details, or “</w:t>
      </w:r>
      <w:r w:rsidRPr="00A277E8">
        <w:rPr>
          <w:rFonts w:asciiTheme="minorHAnsi" w:hAnsiTheme="minorHAnsi" w:cstheme="minorHAnsi"/>
          <w:i/>
          <w:sz w:val="23"/>
          <w:szCs w:val="23"/>
          <w:lang w:val="en"/>
        </w:rPr>
        <w:t>according to package instructions</w:t>
      </w:r>
      <w:r w:rsidRPr="00A277E8">
        <w:rPr>
          <w:rFonts w:asciiTheme="minorHAnsi" w:hAnsiTheme="minorHAnsi" w:cstheme="minorHAnsi"/>
          <w:sz w:val="23"/>
          <w:szCs w:val="23"/>
          <w:lang w:val="en"/>
        </w:rPr>
        <w:t>” are not acceptable.</w:t>
      </w:r>
    </w:p>
    <w:p w:rsidR="00DA5786" w:rsidRPr="00A277E8" w:rsidRDefault="00DA5786" w:rsidP="00DA5786">
      <w:pPr>
        <w:widowControl w:val="0"/>
        <w:numPr>
          <w:ilvl w:val="0"/>
          <w:numId w:val="1"/>
        </w:numPr>
        <w:tabs>
          <w:tab w:val="left" w:pos="720"/>
        </w:tabs>
        <w:jc w:val="both"/>
        <w:rPr>
          <w:rFonts w:asciiTheme="minorHAnsi" w:hAnsiTheme="minorHAnsi" w:cstheme="minorHAnsi"/>
          <w:sz w:val="23"/>
          <w:szCs w:val="23"/>
          <w:lang w:val="en"/>
        </w:rPr>
      </w:pPr>
      <w:r w:rsidRPr="00A277E8">
        <w:rPr>
          <w:rFonts w:asciiTheme="minorHAnsi" w:hAnsiTheme="minorHAnsi" w:cstheme="minorHAnsi"/>
          <w:sz w:val="23"/>
          <w:szCs w:val="23"/>
          <w:lang w:val="en"/>
        </w:rPr>
        <w:t>All medication must be accompanied with a written request to administer medication from the parent or guardian stating the same instructions as the prescription label or physician’s orders.</w:t>
      </w:r>
    </w:p>
    <w:p w:rsidR="00DA5786" w:rsidRPr="00A277E8" w:rsidRDefault="00DA5786" w:rsidP="00DA5786">
      <w:pPr>
        <w:widowControl w:val="0"/>
        <w:numPr>
          <w:ilvl w:val="0"/>
          <w:numId w:val="1"/>
        </w:numPr>
        <w:tabs>
          <w:tab w:val="left" w:pos="720"/>
        </w:tabs>
        <w:jc w:val="both"/>
        <w:rPr>
          <w:rFonts w:asciiTheme="minorHAnsi" w:hAnsiTheme="minorHAnsi" w:cstheme="minorHAnsi"/>
          <w:sz w:val="23"/>
          <w:szCs w:val="23"/>
          <w:lang w:val="en"/>
        </w:rPr>
      </w:pPr>
      <w:r w:rsidRPr="00A277E8">
        <w:rPr>
          <w:rFonts w:asciiTheme="minorHAnsi" w:hAnsiTheme="minorHAnsi" w:cstheme="minorHAnsi"/>
          <w:sz w:val="23"/>
          <w:szCs w:val="23"/>
          <w:lang w:val="en"/>
        </w:rPr>
        <w:t>When a prescription changes, the parent or guardian is responsible for advising the campus nurse of the change as well as providing updated prescription containers and/or physician orders.  This is also true for discontinued medication orders.</w:t>
      </w:r>
    </w:p>
    <w:p w:rsidR="00DA5786" w:rsidRPr="00A277E8" w:rsidRDefault="00DA5786" w:rsidP="00DA5786">
      <w:pPr>
        <w:widowControl w:val="0"/>
        <w:numPr>
          <w:ilvl w:val="0"/>
          <w:numId w:val="1"/>
        </w:numPr>
        <w:tabs>
          <w:tab w:val="left" w:pos="720"/>
        </w:tabs>
        <w:jc w:val="both"/>
        <w:rPr>
          <w:rFonts w:asciiTheme="minorHAnsi" w:hAnsiTheme="minorHAnsi" w:cstheme="minorHAnsi"/>
          <w:sz w:val="23"/>
          <w:szCs w:val="23"/>
          <w:lang w:val="en"/>
        </w:rPr>
      </w:pPr>
      <w:r w:rsidRPr="00A277E8">
        <w:rPr>
          <w:rFonts w:asciiTheme="minorHAnsi" w:hAnsiTheme="minorHAnsi" w:cstheme="minorHAnsi"/>
          <w:sz w:val="23"/>
          <w:szCs w:val="23"/>
          <w:lang w:val="en"/>
        </w:rPr>
        <w:t xml:space="preserve">All medication submitted for administration must appear in the original container and be properly labeled with the student’s name, type of medication and directions for administration.  </w:t>
      </w:r>
    </w:p>
    <w:p w:rsidR="00DA5786" w:rsidRPr="00A277E8" w:rsidRDefault="00DA5786" w:rsidP="00DA5786">
      <w:pPr>
        <w:widowControl w:val="0"/>
        <w:numPr>
          <w:ilvl w:val="0"/>
          <w:numId w:val="1"/>
        </w:numPr>
        <w:tabs>
          <w:tab w:val="left" w:pos="720"/>
        </w:tabs>
        <w:jc w:val="both"/>
        <w:rPr>
          <w:rFonts w:asciiTheme="minorHAnsi" w:hAnsiTheme="minorHAnsi" w:cstheme="minorHAnsi"/>
          <w:b/>
          <w:sz w:val="23"/>
          <w:szCs w:val="23"/>
          <w:lang w:val="en"/>
        </w:rPr>
      </w:pPr>
      <w:r w:rsidRPr="00A277E8">
        <w:rPr>
          <w:rFonts w:asciiTheme="minorHAnsi" w:hAnsiTheme="minorHAnsi" w:cstheme="minorHAnsi"/>
          <w:sz w:val="23"/>
          <w:szCs w:val="23"/>
          <w:lang w:val="en"/>
        </w:rPr>
        <w:t xml:space="preserve">Parents or guardians will </w:t>
      </w:r>
      <w:r w:rsidRPr="00A277E8">
        <w:rPr>
          <w:rFonts w:asciiTheme="minorHAnsi" w:hAnsiTheme="minorHAnsi" w:cstheme="minorHAnsi"/>
          <w:b/>
          <w:sz w:val="23"/>
          <w:szCs w:val="23"/>
          <w:lang w:val="en"/>
        </w:rPr>
        <w:t xml:space="preserve">send only 30 day supply of daily single dose medication </w:t>
      </w:r>
      <w:r w:rsidRPr="00A277E8">
        <w:rPr>
          <w:rFonts w:asciiTheme="minorHAnsi" w:hAnsiTheme="minorHAnsi" w:cstheme="minorHAnsi"/>
          <w:b/>
          <w:i/>
          <w:sz w:val="23"/>
          <w:szCs w:val="23"/>
          <w:lang w:val="en"/>
        </w:rPr>
        <w:t>or</w:t>
      </w:r>
      <w:r w:rsidRPr="00A277E8">
        <w:rPr>
          <w:rFonts w:asciiTheme="minorHAnsi" w:hAnsiTheme="minorHAnsi" w:cstheme="minorHAnsi"/>
          <w:b/>
          <w:sz w:val="23"/>
          <w:szCs w:val="23"/>
          <w:lang w:val="en"/>
        </w:rPr>
        <w:t xml:space="preserve"> a two (2) weeks supply of short term or as needed single dose medication.  </w:t>
      </w:r>
      <w:r w:rsidRPr="00A277E8">
        <w:rPr>
          <w:rFonts w:asciiTheme="minorHAnsi" w:hAnsiTheme="minorHAnsi" w:cstheme="minorHAnsi"/>
          <w:sz w:val="23"/>
          <w:szCs w:val="23"/>
          <w:lang w:val="en"/>
        </w:rPr>
        <w:t xml:space="preserve">This includes pills or capsules and ampules or vials.  This rule does not apply to inhalers and liquid medications.    </w:t>
      </w:r>
    </w:p>
    <w:p w:rsidR="00DA5786" w:rsidRPr="00A277E8" w:rsidRDefault="00DA5786" w:rsidP="00DA5786">
      <w:pPr>
        <w:widowControl w:val="0"/>
        <w:numPr>
          <w:ilvl w:val="0"/>
          <w:numId w:val="1"/>
        </w:numPr>
        <w:tabs>
          <w:tab w:val="left" w:pos="720"/>
        </w:tabs>
        <w:jc w:val="both"/>
        <w:rPr>
          <w:rFonts w:asciiTheme="minorHAnsi" w:hAnsiTheme="minorHAnsi" w:cstheme="minorHAnsi"/>
          <w:b/>
          <w:sz w:val="23"/>
          <w:szCs w:val="23"/>
          <w:lang w:val="en"/>
        </w:rPr>
      </w:pPr>
      <w:r w:rsidRPr="00A277E8">
        <w:rPr>
          <w:rFonts w:asciiTheme="minorHAnsi" w:hAnsiTheme="minorHAnsi" w:cstheme="minorHAnsi"/>
          <w:sz w:val="23"/>
          <w:szCs w:val="23"/>
          <w:lang w:val="en"/>
        </w:rPr>
        <w:t>All medication shall be deposited in the clinic or office upon arrival.</w:t>
      </w:r>
    </w:p>
    <w:p w:rsidR="00DA5786" w:rsidRPr="00A277E8" w:rsidRDefault="00DA5786" w:rsidP="00DA5786">
      <w:pPr>
        <w:widowControl w:val="0"/>
        <w:numPr>
          <w:ilvl w:val="0"/>
          <w:numId w:val="1"/>
        </w:numPr>
        <w:tabs>
          <w:tab w:val="left" w:pos="720"/>
        </w:tabs>
        <w:jc w:val="both"/>
        <w:rPr>
          <w:rFonts w:asciiTheme="minorHAnsi" w:hAnsiTheme="minorHAnsi" w:cstheme="minorHAnsi"/>
          <w:b/>
          <w:sz w:val="23"/>
          <w:szCs w:val="23"/>
          <w:lang w:val="en"/>
        </w:rPr>
      </w:pPr>
      <w:r w:rsidRPr="00A277E8">
        <w:rPr>
          <w:rFonts w:asciiTheme="minorHAnsi" w:hAnsiTheme="minorHAnsi" w:cstheme="minorHAnsi"/>
          <w:sz w:val="23"/>
          <w:szCs w:val="23"/>
          <w:lang w:val="en"/>
        </w:rPr>
        <w:t>Single unit medication is counted by school personnel upon receipt.</w:t>
      </w:r>
    </w:p>
    <w:p w:rsidR="00DA5786" w:rsidRPr="00A277E8" w:rsidRDefault="00DA5786" w:rsidP="00DA5786">
      <w:pPr>
        <w:widowControl w:val="0"/>
        <w:numPr>
          <w:ilvl w:val="0"/>
          <w:numId w:val="1"/>
        </w:numPr>
        <w:tabs>
          <w:tab w:val="left" w:pos="720"/>
        </w:tabs>
        <w:jc w:val="both"/>
        <w:rPr>
          <w:sz w:val="23"/>
          <w:szCs w:val="23"/>
          <w:lang w:val="en"/>
        </w:rPr>
      </w:pPr>
      <w:r w:rsidRPr="00A277E8">
        <w:rPr>
          <w:rFonts w:asciiTheme="minorHAnsi" w:hAnsiTheme="minorHAnsi" w:cstheme="minorHAnsi"/>
          <w:sz w:val="23"/>
          <w:szCs w:val="23"/>
          <w:lang w:val="en"/>
        </w:rPr>
        <w:t>Medication must be kept in a locked container in the campus office area or clinic.</w:t>
      </w:r>
    </w:p>
    <w:p w:rsidR="00DA5786" w:rsidRPr="00257A4E" w:rsidRDefault="00DA5786" w:rsidP="00DA5786">
      <w:pPr>
        <w:widowControl w:val="0"/>
        <w:numPr>
          <w:ilvl w:val="0"/>
          <w:numId w:val="1"/>
        </w:numPr>
        <w:tabs>
          <w:tab w:val="left" w:pos="720"/>
        </w:tabs>
        <w:jc w:val="both"/>
        <w:rPr>
          <w:sz w:val="23"/>
          <w:szCs w:val="23"/>
          <w:lang w:val="en"/>
        </w:rPr>
      </w:pPr>
      <w:r w:rsidRPr="00257A4E">
        <w:rPr>
          <w:rFonts w:asciiTheme="minorHAnsi" w:hAnsiTheme="minorHAnsi" w:cstheme="minorHAnsi"/>
          <w:sz w:val="23"/>
          <w:szCs w:val="23"/>
          <w:lang w:val="en"/>
        </w:rPr>
        <w:t>Nonprescription medication, homeopathic medication, dietary supplements and herbal supplements may be given to students only in accordance with Mesquite ISD Board Policy FFAC (Legal) and FFAC (Local).</w:t>
      </w:r>
    </w:p>
    <w:p w:rsidR="009C2ED1" w:rsidRDefault="009C2ED1" w:rsidP="00DA5786"/>
    <w:p w:rsidR="00257A4E" w:rsidRPr="00723ADF" w:rsidRDefault="00257A4E" w:rsidP="00257A4E">
      <w:pPr>
        <w:jc w:val="center"/>
        <w:rPr>
          <w:b/>
          <w:bCs/>
          <w:sz w:val="23"/>
          <w:szCs w:val="23"/>
          <w:lang w:val="es-MX"/>
        </w:rPr>
      </w:pPr>
      <w:r w:rsidRPr="00723ADF">
        <w:rPr>
          <w:b/>
          <w:bCs/>
          <w:sz w:val="23"/>
          <w:szCs w:val="23"/>
          <w:lang w:val="es-MX"/>
        </w:rPr>
        <w:t>Pautas del MISD para la administración de medicamentos</w:t>
      </w:r>
    </w:p>
    <w:p w:rsidR="00257A4E" w:rsidRPr="00723ADF" w:rsidRDefault="00257A4E" w:rsidP="00257A4E">
      <w:pPr>
        <w:pStyle w:val="BodyText"/>
        <w:spacing w:before="120"/>
        <w:jc w:val="both"/>
        <w:rPr>
          <w:sz w:val="22"/>
          <w:szCs w:val="22"/>
          <w:lang w:val="es-MX"/>
        </w:rPr>
      </w:pPr>
      <w:r w:rsidRPr="00723ADF">
        <w:rPr>
          <w:sz w:val="22"/>
          <w:szCs w:val="22"/>
          <w:lang w:val="es-MX"/>
        </w:rPr>
        <w:lastRenderedPageBreak/>
        <w:t>Siempre que sea posible, los medicamentos deben administrarse en el hogar. Sin embargo, los medicamentos se pueden administrar durante el día escolar si se tienen en cuenta las siguientes pautas:</w:t>
      </w:r>
    </w:p>
    <w:p w:rsidR="00257A4E" w:rsidRPr="00257A4E" w:rsidRDefault="00257A4E" w:rsidP="00257A4E">
      <w:pPr>
        <w:widowControl w:val="0"/>
        <w:numPr>
          <w:ilvl w:val="0"/>
          <w:numId w:val="2"/>
        </w:numPr>
        <w:spacing w:before="120"/>
        <w:jc w:val="both"/>
        <w:rPr>
          <w:sz w:val="21"/>
          <w:szCs w:val="21"/>
          <w:lang w:val="es-MX"/>
        </w:rPr>
      </w:pPr>
      <w:r w:rsidRPr="00257A4E">
        <w:rPr>
          <w:sz w:val="21"/>
          <w:szCs w:val="21"/>
          <w:lang w:val="es-MX"/>
        </w:rPr>
        <w:t xml:space="preserve">El Mesquite ISD acepta las recetas médicas que proporcionan los profesionales de salud (MD, DO, DDS, APN, PA, etc.), autorizados por el estado de Texas y con la autoridad para escribir prescripciones.  </w:t>
      </w:r>
    </w:p>
    <w:p w:rsidR="00257A4E" w:rsidRPr="00257A4E" w:rsidRDefault="00257A4E" w:rsidP="00257A4E">
      <w:pPr>
        <w:widowControl w:val="0"/>
        <w:numPr>
          <w:ilvl w:val="0"/>
          <w:numId w:val="2"/>
        </w:numPr>
        <w:spacing w:before="60"/>
        <w:jc w:val="both"/>
        <w:rPr>
          <w:sz w:val="21"/>
          <w:szCs w:val="21"/>
          <w:lang w:val="es-MX"/>
        </w:rPr>
      </w:pPr>
      <w:r w:rsidRPr="00257A4E">
        <w:rPr>
          <w:sz w:val="21"/>
          <w:szCs w:val="21"/>
          <w:lang w:val="es-MX"/>
        </w:rPr>
        <w:t xml:space="preserve">Todos los medicamentos tienen que surtirse por un farmaceuta autorizado por el estado de Texas.  </w:t>
      </w:r>
    </w:p>
    <w:p w:rsidR="00257A4E" w:rsidRPr="00257A4E" w:rsidRDefault="00257A4E" w:rsidP="00257A4E">
      <w:pPr>
        <w:widowControl w:val="0"/>
        <w:numPr>
          <w:ilvl w:val="0"/>
          <w:numId w:val="2"/>
        </w:numPr>
        <w:spacing w:before="60"/>
        <w:jc w:val="both"/>
        <w:rPr>
          <w:sz w:val="21"/>
          <w:szCs w:val="21"/>
          <w:lang w:val="es-MX"/>
        </w:rPr>
      </w:pPr>
      <w:r w:rsidRPr="00257A4E">
        <w:rPr>
          <w:sz w:val="21"/>
          <w:szCs w:val="21"/>
          <w:lang w:val="es-MX"/>
        </w:rPr>
        <w:t xml:space="preserve">Las etiquetas en los frascos o recipientes de medicamentos se considerarán el equivalente a recetas médicas, siempre y cuando estén intactas y legibles e incluyan el nombre del estudiante, el nombre de la medicina, la dosis que debe tomarse, cómo debe administrarse el medicamento y la hora o frecuencia en que debe administrarse. </w:t>
      </w:r>
    </w:p>
    <w:p w:rsidR="00257A4E" w:rsidRPr="00257A4E" w:rsidRDefault="00257A4E" w:rsidP="00257A4E">
      <w:pPr>
        <w:widowControl w:val="0"/>
        <w:numPr>
          <w:ilvl w:val="0"/>
          <w:numId w:val="2"/>
        </w:numPr>
        <w:spacing w:before="60"/>
        <w:jc w:val="both"/>
        <w:rPr>
          <w:sz w:val="21"/>
          <w:szCs w:val="21"/>
          <w:lang w:val="es-MX"/>
        </w:rPr>
      </w:pPr>
      <w:r w:rsidRPr="00257A4E">
        <w:rPr>
          <w:sz w:val="21"/>
          <w:szCs w:val="21"/>
          <w:lang w:val="es-MX"/>
        </w:rPr>
        <w:t>Ciertos padecimientos requieren un plan de acción de emergencias, el cual debe ser completado por el proveedor de servicios de salud y los padres o tutores.</w:t>
      </w:r>
    </w:p>
    <w:p w:rsidR="00257A4E" w:rsidRPr="00257A4E" w:rsidRDefault="00257A4E" w:rsidP="00257A4E">
      <w:pPr>
        <w:widowControl w:val="0"/>
        <w:numPr>
          <w:ilvl w:val="0"/>
          <w:numId w:val="2"/>
        </w:numPr>
        <w:spacing w:before="60"/>
        <w:jc w:val="both"/>
        <w:rPr>
          <w:sz w:val="21"/>
          <w:szCs w:val="21"/>
          <w:lang w:val="es-MX"/>
        </w:rPr>
      </w:pPr>
      <w:r w:rsidRPr="00257A4E">
        <w:rPr>
          <w:sz w:val="21"/>
          <w:szCs w:val="21"/>
          <w:lang w:val="es-MX"/>
        </w:rPr>
        <w:t>La Ley de la Práctica de Enfermería de Texas exige que las enfermeras tituladas consulten a un profesional autorizado apropiado si creen que alguna receta o indicación del médico es incorrecta, ineficaz o contraindicada.</w:t>
      </w:r>
    </w:p>
    <w:p w:rsidR="00257A4E" w:rsidRPr="00257A4E" w:rsidRDefault="00257A4E" w:rsidP="00257A4E">
      <w:pPr>
        <w:widowControl w:val="0"/>
        <w:numPr>
          <w:ilvl w:val="0"/>
          <w:numId w:val="2"/>
        </w:numPr>
        <w:spacing w:before="60"/>
        <w:jc w:val="both"/>
        <w:rPr>
          <w:sz w:val="21"/>
          <w:szCs w:val="21"/>
          <w:lang w:val="es-MX"/>
        </w:rPr>
      </w:pPr>
      <w:r w:rsidRPr="00257A4E">
        <w:rPr>
          <w:sz w:val="21"/>
          <w:szCs w:val="21"/>
          <w:lang w:val="es-MX"/>
        </w:rPr>
        <w:t xml:space="preserve">Para la administración de </w:t>
      </w:r>
      <w:r w:rsidRPr="00257A4E">
        <w:rPr>
          <w:b/>
          <w:sz w:val="21"/>
          <w:szCs w:val="21"/>
          <w:lang w:val="es-MX"/>
        </w:rPr>
        <w:t>muestras médicas</w:t>
      </w:r>
      <w:r w:rsidRPr="00257A4E">
        <w:rPr>
          <w:sz w:val="21"/>
          <w:szCs w:val="21"/>
          <w:lang w:val="es-MX"/>
        </w:rPr>
        <w:t xml:space="preserve"> y </w:t>
      </w:r>
      <w:r w:rsidRPr="00257A4E">
        <w:rPr>
          <w:b/>
          <w:sz w:val="21"/>
          <w:szCs w:val="21"/>
          <w:lang w:val="es-MX"/>
        </w:rPr>
        <w:t>medicamentos sin receta,</w:t>
      </w:r>
      <w:r w:rsidRPr="00257A4E">
        <w:rPr>
          <w:sz w:val="21"/>
          <w:szCs w:val="21"/>
          <w:lang w:val="es-MX"/>
        </w:rPr>
        <w:t xml:space="preserve"> se requieren de órdenes e instrucciones por escrito elaboradas por profesionales de salud (MD, DO, DDS, APN, PA, etc.) autorizados por el estado de Texas que tienen la autoridad para escribir prescripciones. Los medicamentos sin receta incluyen </w:t>
      </w:r>
      <w:r w:rsidRPr="00257A4E">
        <w:rPr>
          <w:b/>
          <w:sz w:val="21"/>
          <w:szCs w:val="21"/>
          <w:lang w:val="es-MX"/>
        </w:rPr>
        <w:t xml:space="preserve">caramelos para la tos, medicina para la tos, </w:t>
      </w:r>
      <w:r w:rsidRPr="00257A4E">
        <w:rPr>
          <w:b/>
          <w:bCs/>
          <w:sz w:val="21"/>
          <w:szCs w:val="21"/>
          <w:lang w:val="es-MX"/>
        </w:rPr>
        <w:t>antihistamínicos</w:t>
      </w:r>
      <w:r w:rsidRPr="00257A4E">
        <w:rPr>
          <w:b/>
          <w:sz w:val="21"/>
          <w:szCs w:val="21"/>
          <w:lang w:val="es-MX"/>
        </w:rPr>
        <w:t xml:space="preserve">, medicamentos para aliviar el dolor, </w:t>
      </w:r>
      <w:r w:rsidRPr="00257A4E">
        <w:rPr>
          <w:b/>
          <w:sz w:val="21"/>
          <w:szCs w:val="21"/>
          <w:lang w:val="es-ES"/>
        </w:rPr>
        <w:t>aerosoles</w:t>
      </w:r>
      <w:r w:rsidRPr="00257A4E">
        <w:rPr>
          <w:b/>
          <w:sz w:val="21"/>
          <w:szCs w:val="21"/>
          <w:lang w:val="es-MX"/>
        </w:rPr>
        <w:t xml:space="preserve"> o lociones medicinales y protector labial medicinal. </w:t>
      </w:r>
      <w:r w:rsidRPr="00257A4E">
        <w:rPr>
          <w:sz w:val="21"/>
          <w:szCs w:val="21"/>
          <w:lang w:val="es-MX"/>
        </w:rPr>
        <w:t>Las instrucciones para este tipo de medicamentos deben contener la siguiente información:</w:t>
      </w:r>
    </w:p>
    <w:p w:rsidR="00257A4E" w:rsidRPr="00257A4E" w:rsidRDefault="00257A4E" w:rsidP="00257A4E">
      <w:pPr>
        <w:widowControl w:val="0"/>
        <w:numPr>
          <w:ilvl w:val="1"/>
          <w:numId w:val="2"/>
        </w:numPr>
        <w:spacing w:before="60"/>
        <w:jc w:val="both"/>
        <w:rPr>
          <w:sz w:val="21"/>
          <w:szCs w:val="21"/>
          <w:lang w:val="es-MX"/>
        </w:rPr>
      </w:pPr>
      <w:r w:rsidRPr="00257A4E">
        <w:rPr>
          <w:sz w:val="21"/>
          <w:szCs w:val="21"/>
          <w:lang w:val="es-MX"/>
        </w:rPr>
        <w:t>nombre del estudiante;</w:t>
      </w:r>
    </w:p>
    <w:p w:rsidR="00257A4E" w:rsidRPr="00257A4E" w:rsidRDefault="00257A4E" w:rsidP="00257A4E">
      <w:pPr>
        <w:widowControl w:val="0"/>
        <w:numPr>
          <w:ilvl w:val="1"/>
          <w:numId w:val="2"/>
        </w:numPr>
        <w:spacing w:before="60"/>
        <w:jc w:val="both"/>
        <w:rPr>
          <w:sz w:val="21"/>
          <w:szCs w:val="21"/>
          <w:lang w:val="es-MX"/>
        </w:rPr>
      </w:pPr>
      <w:r w:rsidRPr="00257A4E">
        <w:rPr>
          <w:sz w:val="21"/>
          <w:szCs w:val="21"/>
          <w:lang w:val="es-MX"/>
        </w:rPr>
        <w:t>nombre del medicamento;</w:t>
      </w:r>
    </w:p>
    <w:p w:rsidR="00257A4E" w:rsidRPr="00257A4E" w:rsidRDefault="00257A4E" w:rsidP="00257A4E">
      <w:pPr>
        <w:widowControl w:val="0"/>
        <w:numPr>
          <w:ilvl w:val="1"/>
          <w:numId w:val="2"/>
        </w:numPr>
        <w:spacing w:before="60"/>
        <w:jc w:val="both"/>
        <w:rPr>
          <w:sz w:val="21"/>
          <w:szCs w:val="21"/>
          <w:lang w:val="es-MX"/>
        </w:rPr>
      </w:pPr>
      <w:r w:rsidRPr="00257A4E">
        <w:rPr>
          <w:sz w:val="21"/>
          <w:szCs w:val="21"/>
          <w:lang w:val="es-MX"/>
        </w:rPr>
        <w:t>propósito específico para administrar la medicina;</w:t>
      </w:r>
    </w:p>
    <w:p w:rsidR="00257A4E" w:rsidRPr="00257A4E" w:rsidRDefault="00257A4E" w:rsidP="00257A4E">
      <w:pPr>
        <w:widowControl w:val="0"/>
        <w:numPr>
          <w:ilvl w:val="1"/>
          <w:numId w:val="2"/>
        </w:numPr>
        <w:spacing w:before="60"/>
        <w:jc w:val="both"/>
        <w:rPr>
          <w:sz w:val="21"/>
          <w:szCs w:val="21"/>
          <w:lang w:val="es-MX"/>
        </w:rPr>
      </w:pPr>
      <w:r w:rsidRPr="00257A4E">
        <w:rPr>
          <w:sz w:val="21"/>
          <w:szCs w:val="21"/>
          <w:lang w:val="es-MX"/>
        </w:rPr>
        <w:t>dosis especificada;</w:t>
      </w:r>
    </w:p>
    <w:p w:rsidR="00257A4E" w:rsidRPr="00257A4E" w:rsidRDefault="00257A4E" w:rsidP="00257A4E">
      <w:pPr>
        <w:widowControl w:val="0"/>
        <w:numPr>
          <w:ilvl w:val="1"/>
          <w:numId w:val="2"/>
        </w:numPr>
        <w:spacing w:before="60"/>
        <w:jc w:val="both"/>
        <w:rPr>
          <w:sz w:val="21"/>
          <w:szCs w:val="21"/>
          <w:lang w:val="es-MX"/>
        </w:rPr>
      </w:pPr>
      <w:r w:rsidRPr="00257A4E">
        <w:rPr>
          <w:sz w:val="21"/>
          <w:szCs w:val="21"/>
          <w:lang w:val="es-MX"/>
        </w:rPr>
        <w:t>camino a seguir para administrar el medicamento;</w:t>
      </w:r>
    </w:p>
    <w:p w:rsidR="00257A4E" w:rsidRPr="00257A4E" w:rsidRDefault="00257A4E" w:rsidP="00257A4E">
      <w:pPr>
        <w:widowControl w:val="0"/>
        <w:numPr>
          <w:ilvl w:val="1"/>
          <w:numId w:val="2"/>
        </w:numPr>
        <w:spacing w:before="60"/>
        <w:jc w:val="both"/>
        <w:rPr>
          <w:sz w:val="21"/>
          <w:szCs w:val="21"/>
          <w:lang w:val="es-MX"/>
        </w:rPr>
      </w:pPr>
      <w:r w:rsidRPr="00257A4E">
        <w:rPr>
          <w:sz w:val="21"/>
          <w:szCs w:val="21"/>
          <w:lang w:val="es-MX"/>
        </w:rPr>
        <w:t xml:space="preserve">frecuencia u hora especificada en la que debe administrarse la medicina. No se aceptan anotaciones como </w:t>
      </w:r>
      <w:r w:rsidRPr="00257A4E">
        <w:rPr>
          <w:i/>
          <w:sz w:val="21"/>
          <w:szCs w:val="21"/>
          <w:lang w:val="es-MX"/>
        </w:rPr>
        <w:t xml:space="preserve">as directed </w:t>
      </w:r>
      <w:r w:rsidRPr="00257A4E">
        <w:rPr>
          <w:sz w:val="21"/>
          <w:szCs w:val="21"/>
          <w:lang w:val="es-MX"/>
        </w:rPr>
        <w:t xml:space="preserve">o </w:t>
      </w:r>
      <w:r w:rsidRPr="00257A4E">
        <w:rPr>
          <w:i/>
          <w:sz w:val="21"/>
          <w:szCs w:val="21"/>
          <w:lang w:val="es-MX"/>
        </w:rPr>
        <w:t xml:space="preserve">as needed </w:t>
      </w:r>
      <w:r w:rsidRPr="00257A4E">
        <w:rPr>
          <w:sz w:val="21"/>
          <w:szCs w:val="21"/>
          <w:lang w:val="es-MX"/>
        </w:rPr>
        <w:t xml:space="preserve">sin algún detalle descriptivo o  anotaciones como </w:t>
      </w:r>
      <w:r w:rsidRPr="00257A4E">
        <w:rPr>
          <w:i/>
          <w:sz w:val="21"/>
          <w:szCs w:val="21"/>
          <w:lang w:val="es-MX"/>
        </w:rPr>
        <w:t>according to package instructions.</w:t>
      </w:r>
    </w:p>
    <w:p w:rsidR="00257A4E" w:rsidRPr="00257A4E" w:rsidRDefault="00257A4E" w:rsidP="00257A4E">
      <w:pPr>
        <w:widowControl w:val="0"/>
        <w:numPr>
          <w:ilvl w:val="0"/>
          <w:numId w:val="2"/>
        </w:numPr>
        <w:spacing w:before="60"/>
        <w:jc w:val="both"/>
        <w:rPr>
          <w:sz w:val="21"/>
          <w:szCs w:val="21"/>
          <w:lang w:val="es-MX"/>
        </w:rPr>
      </w:pPr>
      <w:r w:rsidRPr="00257A4E">
        <w:rPr>
          <w:sz w:val="21"/>
          <w:szCs w:val="21"/>
          <w:lang w:val="es-MX"/>
        </w:rPr>
        <w:t>Todos los medicamentos deben estar acompañados de una solicitud por escrito para administrar la medicina elaborada por los padres o tutores. La solicitud debe tener las mismas instrucciones que tiene la receta médica o la etiqueta del frasco o recipiente del medicamento.</w:t>
      </w:r>
    </w:p>
    <w:p w:rsidR="00257A4E" w:rsidRPr="00257A4E" w:rsidRDefault="00257A4E" w:rsidP="00257A4E">
      <w:pPr>
        <w:widowControl w:val="0"/>
        <w:numPr>
          <w:ilvl w:val="0"/>
          <w:numId w:val="2"/>
        </w:numPr>
        <w:tabs>
          <w:tab w:val="left" w:pos="720"/>
        </w:tabs>
        <w:spacing w:before="60"/>
        <w:jc w:val="both"/>
        <w:rPr>
          <w:sz w:val="21"/>
          <w:szCs w:val="21"/>
          <w:lang w:val="es-MX"/>
        </w:rPr>
      </w:pPr>
      <w:r w:rsidRPr="00257A4E">
        <w:rPr>
          <w:sz w:val="21"/>
          <w:szCs w:val="21"/>
          <w:lang w:val="es-MX"/>
        </w:rPr>
        <w:t>Cuando se le hacen cambios a una receta, los padres o tutores tienen la responsabilidad de notificarle a la enfermera de la escuela de los cambios y también de proporcionarle las nuevas recetas médicas o las nuevas etiquetas con la receta actualizada en el frasco o recipiente. Esto también debe realizarse  en el caso de recetas médicas descontinuadas.</w:t>
      </w:r>
    </w:p>
    <w:p w:rsidR="00257A4E" w:rsidRPr="00257A4E" w:rsidRDefault="00257A4E" w:rsidP="00257A4E">
      <w:pPr>
        <w:widowControl w:val="0"/>
        <w:numPr>
          <w:ilvl w:val="0"/>
          <w:numId w:val="2"/>
        </w:numPr>
        <w:tabs>
          <w:tab w:val="left" w:pos="720"/>
        </w:tabs>
        <w:spacing w:before="60"/>
        <w:jc w:val="both"/>
        <w:rPr>
          <w:sz w:val="21"/>
          <w:szCs w:val="21"/>
          <w:lang w:val="es-MX"/>
        </w:rPr>
      </w:pPr>
      <w:r w:rsidRPr="00257A4E">
        <w:rPr>
          <w:sz w:val="21"/>
          <w:szCs w:val="21"/>
          <w:lang w:val="es-MX"/>
        </w:rPr>
        <w:t>Todo el medicamento que se entregue para administrarse debe estar en el recipiente original con una etiqueta que tenga el nombre del estudiante, el tipo de medicamento y las instrucciones para su administración.</w:t>
      </w:r>
    </w:p>
    <w:p w:rsidR="00257A4E" w:rsidRPr="00257A4E" w:rsidRDefault="00257A4E" w:rsidP="00257A4E">
      <w:pPr>
        <w:widowControl w:val="0"/>
        <w:numPr>
          <w:ilvl w:val="0"/>
          <w:numId w:val="2"/>
        </w:numPr>
        <w:tabs>
          <w:tab w:val="left" w:pos="720"/>
        </w:tabs>
        <w:spacing w:before="60"/>
        <w:jc w:val="both"/>
        <w:rPr>
          <w:sz w:val="21"/>
          <w:szCs w:val="21"/>
          <w:lang w:val="es-MX"/>
        </w:rPr>
      </w:pPr>
      <w:r w:rsidRPr="00257A4E">
        <w:rPr>
          <w:sz w:val="21"/>
          <w:szCs w:val="21"/>
          <w:lang w:val="es-MX"/>
        </w:rPr>
        <w:t xml:space="preserve">Los padres o tutores </w:t>
      </w:r>
      <w:r w:rsidRPr="00257A4E">
        <w:rPr>
          <w:b/>
          <w:sz w:val="21"/>
          <w:szCs w:val="21"/>
          <w:lang w:val="es-MX"/>
        </w:rPr>
        <w:t xml:space="preserve">enviarán solo una provisión de 30 días de una dosis única diaria del medicamento </w:t>
      </w:r>
      <w:r w:rsidRPr="00257A4E">
        <w:rPr>
          <w:b/>
          <w:i/>
          <w:sz w:val="21"/>
          <w:szCs w:val="21"/>
          <w:lang w:val="es-MX"/>
        </w:rPr>
        <w:t>o</w:t>
      </w:r>
      <w:r w:rsidRPr="00257A4E">
        <w:rPr>
          <w:b/>
          <w:sz w:val="21"/>
          <w:szCs w:val="21"/>
          <w:lang w:val="es-MX"/>
        </w:rPr>
        <w:t xml:space="preserve"> una provisión de dos (2) semanas de una dosis única de corto plazo o una dosis única de medicamento según se requiera. </w:t>
      </w:r>
      <w:r w:rsidRPr="00257A4E">
        <w:rPr>
          <w:sz w:val="21"/>
          <w:szCs w:val="21"/>
          <w:lang w:val="es-MX"/>
        </w:rPr>
        <w:t xml:space="preserve"> Esto incluye tabletas o cápsulas y ampolletas o viales. Esta regla no se aplica a los inhaladores y a los medicamentos líquidos.</w:t>
      </w:r>
    </w:p>
    <w:p w:rsidR="00257A4E" w:rsidRPr="00257A4E" w:rsidRDefault="00257A4E" w:rsidP="00257A4E">
      <w:pPr>
        <w:widowControl w:val="0"/>
        <w:numPr>
          <w:ilvl w:val="0"/>
          <w:numId w:val="2"/>
        </w:numPr>
        <w:tabs>
          <w:tab w:val="left" w:pos="720"/>
        </w:tabs>
        <w:spacing w:before="60"/>
        <w:jc w:val="both"/>
        <w:rPr>
          <w:b/>
          <w:sz w:val="21"/>
          <w:szCs w:val="21"/>
          <w:lang w:val="es-MX"/>
        </w:rPr>
      </w:pPr>
      <w:r w:rsidRPr="00257A4E">
        <w:rPr>
          <w:sz w:val="21"/>
          <w:szCs w:val="21"/>
          <w:lang w:val="es-MX"/>
        </w:rPr>
        <w:t xml:space="preserve">A su llegada a la escuela, todos los medicamentos deben entregarse a la clínica u oficina.    </w:t>
      </w:r>
    </w:p>
    <w:p w:rsidR="00257A4E" w:rsidRPr="00257A4E" w:rsidRDefault="00257A4E" w:rsidP="00257A4E">
      <w:pPr>
        <w:widowControl w:val="0"/>
        <w:numPr>
          <w:ilvl w:val="0"/>
          <w:numId w:val="2"/>
        </w:numPr>
        <w:tabs>
          <w:tab w:val="left" w:pos="720"/>
        </w:tabs>
        <w:spacing w:before="60"/>
        <w:jc w:val="both"/>
        <w:rPr>
          <w:sz w:val="21"/>
          <w:szCs w:val="21"/>
          <w:lang w:val="es-MX"/>
        </w:rPr>
      </w:pPr>
      <w:r w:rsidRPr="00257A4E">
        <w:rPr>
          <w:sz w:val="21"/>
          <w:szCs w:val="21"/>
          <w:lang w:val="es-MX"/>
        </w:rPr>
        <w:t>Al recibir los medicamentos, el personal de la escuela cuenta los que vienen en unidades solas.</w:t>
      </w:r>
    </w:p>
    <w:p w:rsidR="00257A4E" w:rsidRPr="00257A4E" w:rsidRDefault="00257A4E" w:rsidP="00257A4E">
      <w:pPr>
        <w:widowControl w:val="0"/>
        <w:numPr>
          <w:ilvl w:val="0"/>
          <w:numId w:val="2"/>
        </w:numPr>
        <w:tabs>
          <w:tab w:val="left" w:pos="720"/>
        </w:tabs>
        <w:spacing w:before="60"/>
        <w:jc w:val="both"/>
        <w:rPr>
          <w:sz w:val="21"/>
          <w:szCs w:val="21"/>
          <w:lang w:val="es-MX"/>
        </w:rPr>
      </w:pPr>
      <w:r w:rsidRPr="00257A4E">
        <w:rPr>
          <w:sz w:val="21"/>
          <w:szCs w:val="21"/>
          <w:lang w:val="es-MX"/>
        </w:rPr>
        <w:t>La medicina debe guardarse en un recipiente bajo llave en la oficina o clínica de la escuela.</w:t>
      </w:r>
    </w:p>
    <w:p w:rsidR="00257A4E" w:rsidRPr="00257A4E" w:rsidRDefault="00257A4E" w:rsidP="00DA5786">
      <w:pPr>
        <w:widowControl w:val="0"/>
        <w:numPr>
          <w:ilvl w:val="0"/>
          <w:numId w:val="2"/>
        </w:numPr>
        <w:tabs>
          <w:tab w:val="left" w:pos="720"/>
        </w:tabs>
        <w:spacing w:before="60"/>
        <w:jc w:val="both"/>
        <w:rPr>
          <w:lang w:val="es-MX"/>
        </w:rPr>
      </w:pPr>
      <w:r w:rsidRPr="00257A4E">
        <w:rPr>
          <w:sz w:val="21"/>
          <w:szCs w:val="21"/>
          <w:lang w:val="es-MX"/>
        </w:rPr>
        <w:t xml:space="preserve">Los medicamentos sin </w:t>
      </w:r>
      <w:r w:rsidRPr="00257A4E">
        <w:rPr>
          <w:bCs/>
          <w:sz w:val="21"/>
          <w:szCs w:val="21"/>
          <w:lang w:val="es-MX"/>
        </w:rPr>
        <w:t>receta médica, medicamentos homeopáticos, suplementos dietéticos, y suplementos herbales pueden darse a los estudiantes solo de acuerdo con FFAC (legal) y FFAC (local) de la política del Consejo del Mesquite ISD.</w:t>
      </w:r>
    </w:p>
    <w:sectPr w:rsidR="00257A4E" w:rsidRPr="00257A4E" w:rsidSect="00DA5786">
      <w:headerReference w:type="default" r:id="rId8"/>
      <w:footerReference w:type="default" r:id="rId9"/>
      <w:pgSz w:w="12240" w:h="15840"/>
      <w:pgMar w:top="1170" w:right="1440" w:bottom="108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5FF" w:rsidRDefault="004B25FF" w:rsidP="00DA5786">
      <w:r>
        <w:separator/>
      </w:r>
    </w:p>
  </w:endnote>
  <w:endnote w:type="continuationSeparator" w:id="0">
    <w:p w:rsidR="004B25FF" w:rsidRDefault="004B25FF" w:rsidP="00DA5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786" w:rsidRPr="00786D3F" w:rsidRDefault="00DA5786" w:rsidP="00DA5786">
    <w:pPr>
      <w:pStyle w:val="Footer"/>
      <w:jc w:val="right"/>
      <w:rPr>
        <w:rFonts w:asciiTheme="minorHAnsi" w:hAnsiTheme="minorHAnsi" w:cstheme="minorHAnsi"/>
        <w:sz w:val="16"/>
        <w:szCs w:val="16"/>
      </w:rPr>
    </w:pPr>
    <w:r w:rsidRPr="00786D3F">
      <w:rPr>
        <w:rFonts w:asciiTheme="minorHAnsi" w:hAnsiTheme="minorHAnsi" w:cstheme="minorHAnsi"/>
        <w:sz w:val="16"/>
        <w:szCs w:val="16"/>
      </w:rPr>
      <w:t>Revised 7/2015</w:t>
    </w:r>
  </w:p>
  <w:p w:rsidR="00DA5786" w:rsidRDefault="00DA5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5FF" w:rsidRDefault="004B25FF" w:rsidP="00DA5786">
      <w:r>
        <w:separator/>
      </w:r>
    </w:p>
  </w:footnote>
  <w:footnote w:type="continuationSeparator" w:id="0">
    <w:p w:rsidR="004B25FF" w:rsidRDefault="004B25FF" w:rsidP="00DA5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786" w:rsidRPr="004121C8" w:rsidRDefault="00DA5786" w:rsidP="00DA5786">
    <w:pPr>
      <w:pStyle w:val="Header"/>
      <w:tabs>
        <w:tab w:val="left" w:pos="1080"/>
      </w:tabs>
      <w:rPr>
        <w:rStyle w:val="Emphasis"/>
      </w:rPr>
    </w:pPr>
    <w:r w:rsidRPr="004121C8">
      <w:rPr>
        <w:rStyle w:val="Emphasis"/>
      </w:rPr>
      <w:t>Mesquite ISD Health Services</w:t>
    </w:r>
  </w:p>
  <w:p w:rsidR="00DA5786" w:rsidRDefault="00DA5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238BA"/>
    <w:multiLevelType w:val="multilevel"/>
    <w:tmpl w:val="3E3609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76BD0DBE"/>
    <w:multiLevelType w:val="multilevel"/>
    <w:tmpl w:val="35C63AD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86"/>
    <w:rsid w:val="001118E6"/>
    <w:rsid w:val="00257A4E"/>
    <w:rsid w:val="004B25FF"/>
    <w:rsid w:val="009C2ED1"/>
    <w:rsid w:val="00DA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43BFE-47A9-4C68-AA3C-4E8B4EA1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7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5786"/>
    <w:rPr>
      <w:sz w:val="20"/>
    </w:rPr>
  </w:style>
  <w:style w:type="character" w:customStyle="1" w:styleId="BodyTextChar">
    <w:name w:val="Body Text Char"/>
    <w:basedOn w:val="DefaultParagraphFont"/>
    <w:link w:val="BodyText"/>
    <w:rsid w:val="00DA5786"/>
    <w:rPr>
      <w:rFonts w:ascii="Times New Roman" w:eastAsia="Times New Roman" w:hAnsi="Times New Roman" w:cs="Times New Roman"/>
      <w:sz w:val="20"/>
      <w:szCs w:val="24"/>
    </w:rPr>
  </w:style>
  <w:style w:type="paragraph" w:styleId="Header">
    <w:name w:val="header"/>
    <w:basedOn w:val="Normal"/>
    <w:link w:val="HeaderChar"/>
    <w:unhideWhenUsed/>
    <w:rsid w:val="00DA5786"/>
    <w:pPr>
      <w:tabs>
        <w:tab w:val="center" w:pos="4680"/>
        <w:tab w:val="right" w:pos="9360"/>
      </w:tabs>
    </w:pPr>
  </w:style>
  <w:style w:type="character" w:customStyle="1" w:styleId="HeaderChar">
    <w:name w:val="Header Char"/>
    <w:basedOn w:val="DefaultParagraphFont"/>
    <w:link w:val="Header"/>
    <w:rsid w:val="00DA57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5786"/>
    <w:pPr>
      <w:tabs>
        <w:tab w:val="center" w:pos="4680"/>
        <w:tab w:val="right" w:pos="9360"/>
      </w:tabs>
    </w:pPr>
  </w:style>
  <w:style w:type="character" w:customStyle="1" w:styleId="FooterChar">
    <w:name w:val="Footer Char"/>
    <w:basedOn w:val="DefaultParagraphFont"/>
    <w:link w:val="Footer"/>
    <w:uiPriority w:val="99"/>
    <w:rsid w:val="00DA5786"/>
    <w:rPr>
      <w:rFonts w:ascii="Times New Roman" w:eastAsia="Times New Roman" w:hAnsi="Times New Roman" w:cs="Times New Roman"/>
      <w:sz w:val="24"/>
      <w:szCs w:val="24"/>
    </w:rPr>
  </w:style>
  <w:style w:type="character" w:styleId="Emphasis">
    <w:name w:val="Emphasis"/>
    <w:basedOn w:val="DefaultParagraphFont"/>
    <w:qFormat/>
    <w:rsid w:val="00DA57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1DEF0-6162-4F83-B504-A014A156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Mesquite ISD</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dc:creator>
  <cp:lastModifiedBy>Lisa Marie Rainwater</cp:lastModifiedBy>
  <cp:revision>2</cp:revision>
  <dcterms:created xsi:type="dcterms:W3CDTF">2016-08-11T16:19:00Z</dcterms:created>
  <dcterms:modified xsi:type="dcterms:W3CDTF">2016-08-11T16:19:00Z</dcterms:modified>
</cp:coreProperties>
</file>